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7D1C9FBE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230F13">
        <w:rPr>
          <w:sz w:val="24"/>
          <w:szCs w:val="24"/>
        </w:rPr>
        <w:t>místo</w:t>
      </w:r>
      <w:r w:rsidRPr="003011C8">
        <w:rPr>
          <w:sz w:val="24"/>
          <w:szCs w:val="24"/>
        </w:rPr>
        <w:t xml:space="preserve">starostou </w:t>
      </w:r>
      <w:r w:rsidR="00FB32C5">
        <w:rPr>
          <w:b/>
          <w:sz w:val="24"/>
          <w:szCs w:val="24"/>
        </w:rPr>
        <w:t>Petrem Malachem, DiS.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2AD46ADB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FB32C5">
        <w:rPr>
          <w:sz w:val="24"/>
          <w:szCs w:val="24"/>
        </w:rPr>
        <w:t>Jiří Honzírek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21F887FC" w14:textId="266EEDB2" w:rsidR="00A85BF9" w:rsidRPr="0022742C" w:rsidRDefault="00E36F80" w:rsidP="0022032B">
      <w:pPr>
        <w:pStyle w:val="Odstavecseseznamem"/>
        <w:numPr>
          <w:ilvl w:val="1"/>
          <w:numId w:val="16"/>
        </w:numPr>
        <w:spacing w:after="60"/>
        <w:jc w:val="both"/>
        <w:rPr>
          <w:sz w:val="24"/>
          <w:szCs w:val="24"/>
        </w:rPr>
      </w:pPr>
      <w:r w:rsidRPr="0022742C">
        <w:rPr>
          <w:sz w:val="24"/>
          <w:szCs w:val="24"/>
        </w:rPr>
        <w:t xml:space="preserve">Předmětem smlouvy je provedení díla </w:t>
      </w:r>
      <w:r w:rsidRPr="0022742C">
        <w:rPr>
          <w:b/>
          <w:sz w:val="24"/>
          <w:szCs w:val="24"/>
        </w:rPr>
        <w:t>„</w:t>
      </w:r>
      <w:r w:rsidR="0022742C" w:rsidRPr="0022742C">
        <w:rPr>
          <w:b/>
          <w:sz w:val="24"/>
        </w:rPr>
        <w:t>Oprava místní komunikace 35c na ulici Švermova v Boskovicích</w:t>
      </w:r>
      <w:r w:rsidRPr="0022742C">
        <w:rPr>
          <w:b/>
          <w:sz w:val="24"/>
          <w:szCs w:val="24"/>
        </w:rPr>
        <w:t>“</w:t>
      </w:r>
      <w:r w:rsidR="00DD61FF" w:rsidRPr="0022742C">
        <w:rPr>
          <w:b/>
          <w:sz w:val="24"/>
          <w:szCs w:val="24"/>
        </w:rPr>
        <w:t xml:space="preserve"> </w:t>
      </w:r>
      <w:r w:rsidR="00DD61FF" w:rsidRPr="0022742C">
        <w:rPr>
          <w:sz w:val="24"/>
          <w:szCs w:val="24"/>
        </w:rPr>
        <w:t>(dále té</w:t>
      </w:r>
      <w:r w:rsidRPr="0022742C">
        <w:rPr>
          <w:sz w:val="24"/>
          <w:szCs w:val="24"/>
        </w:rPr>
        <w:t>ž dílo)</w:t>
      </w:r>
      <w:r w:rsidR="0022742C" w:rsidRPr="0022742C">
        <w:rPr>
          <w:sz w:val="24"/>
          <w:szCs w:val="24"/>
        </w:rPr>
        <w:t xml:space="preserve">, </w:t>
      </w:r>
      <w:r w:rsidR="004C4DAB" w:rsidRPr="0022742C">
        <w:rPr>
          <w:sz w:val="24"/>
          <w:szCs w:val="24"/>
        </w:rPr>
        <w:t xml:space="preserve">spočívají </w:t>
      </w:r>
      <w:r w:rsidR="003B1369" w:rsidRPr="0022742C">
        <w:rPr>
          <w:sz w:val="24"/>
          <w:szCs w:val="24"/>
        </w:rPr>
        <w:t xml:space="preserve">zejména </w:t>
      </w:r>
      <w:r w:rsidR="0022742C">
        <w:rPr>
          <w:sz w:val="24"/>
          <w:szCs w:val="24"/>
        </w:rPr>
        <w:t>v</w:t>
      </w:r>
      <w:r w:rsidR="0022742C">
        <w:rPr>
          <w:sz w:val="24"/>
        </w:rPr>
        <w:t> odstranění stávajícího asfaltobetonového povrchu komunikace, vyrovnání, respektive výměně silničních obrubníků, výměně mříží dešťových vpustí a realizaci nového asfaltobetonového povrchu v celé šíři komunikace</w:t>
      </w:r>
      <w:r w:rsidR="00FB32C5" w:rsidRPr="0022742C">
        <w:rPr>
          <w:sz w:val="24"/>
          <w:szCs w:val="24"/>
        </w:rPr>
        <w:t>.</w:t>
      </w:r>
      <w:r w:rsidR="003B1369" w:rsidRPr="0022742C">
        <w:rPr>
          <w:sz w:val="24"/>
          <w:szCs w:val="24"/>
        </w:rPr>
        <w:t xml:space="preserve"> Rozsah díla je dán  předloženým výka</w:t>
      </w:r>
      <w:r w:rsidR="00804805">
        <w:rPr>
          <w:sz w:val="24"/>
          <w:szCs w:val="24"/>
        </w:rPr>
        <w:t>zem výměr</w:t>
      </w:r>
      <w:r w:rsidR="003B1369" w:rsidRPr="0022742C">
        <w:rPr>
          <w:sz w:val="24"/>
          <w:szCs w:val="24"/>
        </w:rPr>
        <w:t>.</w:t>
      </w:r>
      <w:r w:rsidR="00A85BF9" w:rsidRPr="0022742C">
        <w:rPr>
          <w:sz w:val="24"/>
          <w:szCs w:val="24"/>
        </w:rPr>
        <w:tab/>
      </w:r>
      <w:r w:rsidR="00A85BF9" w:rsidRPr="0022742C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59F65D2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804805">
        <w:rPr>
          <w:sz w:val="24"/>
          <w:szCs w:val="24"/>
        </w:rPr>
        <w:t xml:space="preserve"> Dílo bude provedeno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804805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>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353A54FA" w14:textId="77777777" w:rsidR="003E5085" w:rsidRPr="003011C8" w:rsidRDefault="003E5085" w:rsidP="00E36F80">
      <w:pPr>
        <w:jc w:val="center"/>
        <w:rPr>
          <w:b/>
          <w:sz w:val="24"/>
          <w:szCs w:val="24"/>
        </w:rPr>
      </w:pPr>
    </w:p>
    <w:p w14:paraId="778F2FED" w14:textId="77777777" w:rsidR="00804805" w:rsidRDefault="00804805" w:rsidP="00E36F80">
      <w:pPr>
        <w:jc w:val="center"/>
        <w:rPr>
          <w:b/>
          <w:sz w:val="24"/>
          <w:szCs w:val="24"/>
        </w:rPr>
      </w:pPr>
    </w:p>
    <w:p w14:paraId="56552C5F" w14:textId="77777777" w:rsidR="00804805" w:rsidRDefault="00804805" w:rsidP="00E36F80">
      <w:pPr>
        <w:jc w:val="center"/>
        <w:rPr>
          <w:b/>
          <w:sz w:val="24"/>
          <w:szCs w:val="24"/>
        </w:rPr>
      </w:pPr>
    </w:p>
    <w:p w14:paraId="7AE0D236" w14:textId="77777777" w:rsidR="00804805" w:rsidRDefault="00804805" w:rsidP="00E36F80">
      <w:pPr>
        <w:jc w:val="center"/>
        <w:rPr>
          <w:b/>
          <w:sz w:val="24"/>
          <w:szCs w:val="24"/>
        </w:rPr>
      </w:pPr>
    </w:p>
    <w:p w14:paraId="5464A646" w14:textId="1C942875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76F75B04" w:rsidR="006F406F" w:rsidRPr="006F406F" w:rsidRDefault="00804805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</w:t>
      </w:r>
      <w:r w:rsidR="00A31FC1">
        <w:rPr>
          <w:b/>
          <w:sz w:val="24"/>
          <w:szCs w:val="24"/>
        </w:rPr>
        <w:t xml:space="preserve"> bez DPH</w:t>
      </w:r>
      <w:r w:rsidR="006F406F" w:rsidRPr="006F406F">
        <w:rPr>
          <w:sz w:val="24"/>
          <w:szCs w:val="24"/>
        </w:rPr>
        <w:t xml:space="preserve">     </w:t>
      </w:r>
      <w:r w:rsidR="00A31FC1">
        <w:rPr>
          <w:sz w:val="24"/>
          <w:szCs w:val="24"/>
        </w:rPr>
        <w:tab/>
      </w:r>
      <w:r w:rsidR="00A31FC1">
        <w:rPr>
          <w:sz w:val="24"/>
          <w:szCs w:val="24"/>
        </w:rPr>
        <w:tab/>
      </w:r>
      <w:r w:rsidR="00A31FC1">
        <w:rPr>
          <w:sz w:val="24"/>
          <w:szCs w:val="24"/>
        </w:rPr>
        <w:tab/>
        <w:t xml:space="preserve">         </w:t>
      </w:r>
      <w:r w:rsidR="00B74A53">
        <w:rPr>
          <w:sz w:val="24"/>
          <w:szCs w:val="24"/>
        </w:rPr>
        <w:tab/>
      </w:r>
      <w:r w:rsidR="00A31FC1">
        <w:rPr>
          <w:sz w:val="24"/>
          <w:szCs w:val="24"/>
        </w:rPr>
        <w:t>x xxx xxx,--  Kč</w:t>
      </w:r>
    </w:p>
    <w:p w14:paraId="1F19EFDB" w14:textId="3DB12148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 w:rsidR="00B74A53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4F568FB0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</w:t>
      </w:r>
      <w:r w:rsidR="00B74A53">
        <w:rPr>
          <w:b/>
          <w:sz w:val="24"/>
          <w:szCs w:val="24"/>
        </w:rPr>
        <w:tab/>
      </w:r>
      <w:r w:rsidR="00A31FC1">
        <w:rPr>
          <w:b/>
          <w:sz w:val="24"/>
          <w:szCs w:val="24"/>
        </w:rPr>
        <w:t>x xxx xxx</w:t>
      </w:r>
      <w:r w:rsidRPr="003011C8">
        <w:rPr>
          <w:b/>
          <w:sz w:val="24"/>
          <w:szCs w:val="24"/>
        </w:rPr>
        <w:t>,-- Kč</w:t>
      </w: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7B3F39F3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</w:r>
      <w:r w:rsidR="00D314F5">
        <w:rPr>
          <w:sz w:val="24"/>
          <w:szCs w:val="24"/>
        </w:rPr>
        <w:t xml:space="preserve">nejpozději </w:t>
      </w:r>
      <w:r w:rsidR="00E36F80" w:rsidRPr="003011C8">
        <w:rPr>
          <w:sz w:val="24"/>
          <w:szCs w:val="24"/>
        </w:rPr>
        <w:t xml:space="preserve">od   </w:t>
      </w:r>
      <w:r w:rsidR="00D02CDC">
        <w:rPr>
          <w:sz w:val="24"/>
          <w:szCs w:val="24"/>
        </w:rPr>
        <w:t>01</w:t>
      </w:r>
      <w:r w:rsidR="00DD61FF" w:rsidRPr="003011C8">
        <w:rPr>
          <w:sz w:val="24"/>
          <w:szCs w:val="24"/>
        </w:rPr>
        <w:t>.</w:t>
      </w:r>
      <w:r w:rsidR="00D314F5">
        <w:rPr>
          <w:sz w:val="24"/>
          <w:szCs w:val="24"/>
        </w:rPr>
        <w:t>09</w:t>
      </w:r>
      <w:r w:rsidR="00E36F80" w:rsidRPr="003011C8">
        <w:rPr>
          <w:sz w:val="24"/>
          <w:szCs w:val="24"/>
        </w:rPr>
        <w:t>. 20</w:t>
      </w:r>
      <w:r w:rsidR="0062250A">
        <w:rPr>
          <w:sz w:val="24"/>
          <w:szCs w:val="24"/>
        </w:rPr>
        <w:t>2</w:t>
      </w:r>
      <w:r w:rsidR="00D02CDC">
        <w:rPr>
          <w:sz w:val="24"/>
          <w:szCs w:val="24"/>
        </w:rPr>
        <w:t>2</w:t>
      </w:r>
    </w:p>
    <w:p w14:paraId="567BB469" w14:textId="47FD2E45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804805">
        <w:rPr>
          <w:b/>
          <w:sz w:val="24"/>
          <w:szCs w:val="24"/>
        </w:rPr>
        <w:t>2</w:t>
      </w:r>
      <w:r w:rsidR="001D1AC9">
        <w:rPr>
          <w:b/>
          <w:sz w:val="24"/>
          <w:szCs w:val="24"/>
        </w:rPr>
        <w:t>2</w:t>
      </w:r>
      <w:r w:rsidRPr="003011C8">
        <w:rPr>
          <w:b/>
          <w:sz w:val="24"/>
          <w:szCs w:val="24"/>
        </w:rPr>
        <w:t xml:space="preserve">. </w:t>
      </w:r>
      <w:r w:rsidR="00D02CDC">
        <w:rPr>
          <w:b/>
          <w:sz w:val="24"/>
          <w:szCs w:val="24"/>
        </w:rPr>
        <w:t>09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D02CDC">
        <w:rPr>
          <w:b/>
          <w:sz w:val="24"/>
          <w:szCs w:val="24"/>
        </w:rPr>
        <w:t>2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4EDCB35F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03DA1676" w14:textId="77777777" w:rsidR="00D314F5" w:rsidRDefault="00D314F5" w:rsidP="005C3FBD">
      <w:pPr>
        <w:ind w:left="426" w:hanging="426"/>
        <w:jc w:val="both"/>
        <w:rPr>
          <w:sz w:val="24"/>
          <w:szCs w:val="24"/>
        </w:rPr>
      </w:pPr>
    </w:p>
    <w:p w14:paraId="7447194C" w14:textId="7FDCA617" w:rsidR="00D314F5" w:rsidRDefault="00D314F5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 předání a zahájení realizace díla bude vyhotoven protokol. 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2B5DC0E1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076EEC9A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="00CF18E0">
        <w:rPr>
          <w:sz w:val="24"/>
          <w:szCs w:val="24"/>
        </w:rPr>
        <w:t xml:space="preserve"> a obecně technickým standardům.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1A3BEE64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  <w:r w:rsidR="00CF18E0">
        <w:rPr>
          <w:color w:val="000000"/>
          <w:sz w:val="24"/>
          <w:szCs w:val="24"/>
        </w:rPr>
        <w:t xml:space="preserve"> </w:t>
      </w:r>
      <w:r w:rsidR="00CF18E0">
        <w:rPr>
          <w:color w:val="000000"/>
          <w:sz w:val="24"/>
        </w:rPr>
        <w:t>Faktura, která nemá předepsané náležitosti nebo je neúplná, je neplatná a objednatel je oprávněn takovou fakturu vrátit. Objednatel přitom není v prodlení, uhradí-li až vystavenou fakturu obsahující veškeré předepsané náležitosti.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5558B60D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dle odst. 4.1. této smlouvy, zavazuje se uhradit objednateli smluvní pokutu ve výši </w:t>
      </w:r>
      <w:r w:rsidR="00CF18E0">
        <w:rPr>
          <w:sz w:val="24"/>
          <w:szCs w:val="24"/>
        </w:rPr>
        <w:t>0,1% z celkové ceny</w:t>
      </w:r>
      <w:r w:rsidRPr="003011C8">
        <w:rPr>
          <w:sz w:val="24"/>
          <w:szCs w:val="24"/>
        </w:rPr>
        <w:t xml:space="preserve"> za každý i započatý den prodlení s termínem dokončení díla.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5960F75F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CF18E0">
        <w:rPr>
          <w:sz w:val="24"/>
          <w:szCs w:val="24"/>
        </w:rPr>
        <w:t>0,1% z celkové ceny</w:t>
      </w:r>
      <w:r w:rsidR="00CF18E0"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>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13CFADD1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CF18E0">
        <w:rPr>
          <w:sz w:val="24"/>
          <w:szCs w:val="24"/>
        </w:rPr>
        <w:t>0,1% z celkové ceny</w:t>
      </w:r>
      <w:r w:rsidR="00CF18E0"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>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FCB1A1D" w14:textId="064607ED" w:rsidR="00815A07" w:rsidRDefault="00815A07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609C6343" w:rsidR="00E36F80" w:rsidRPr="00E26B98" w:rsidRDefault="00F014BD" w:rsidP="00E36F80">
      <w:pPr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Petr Malach, Dis.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2D0465BE" w:rsidR="00DD6452" w:rsidRPr="00DD6452" w:rsidRDefault="00815A07" w:rsidP="00F6712F">
      <w:pPr>
        <w:jc w:val="both"/>
        <w:rPr>
          <w:noProof w:val="0"/>
          <w:sz w:val="24"/>
        </w:rPr>
      </w:pPr>
      <w:r>
        <w:rPr>
          <w:sz w:val="24"/>
          <w:szCs w:val="24"/>
        </w:rPr>
        <w:t>místo</w:t>
      </w:r>
      <w:r w:rsidR="00E26B98"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C9953" w14:textId="77777777" w:rsidR="0046186F" w:rsidRDefault="0046186F" w:rsidP="008D036F">
      <w:r>
        <w:separator/>
      </w:r>
    </w:p>
  </w:endnote>
  <w:endnote w:type="continuationSeparator" w:id="0">
    <w:p w14:paraId="1BF67631" w14:textId="77777777" w:rsidR="0046186F" w:rsidRDefault="0046186F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54CA9" w14:textId="77777777" w:rsidR="0046186F" w:rsidRDefault="0046186F" w:rsidP="008D036F">
      <w:r>
        <w:separator/>
      </w:r>
    </w:p>
  </w:footnote>
  <w:footnote w:type="continuationSeparator" w:id="0">
    <w:p w14:paraId="2B573C85" w14:textId="77777777" w:rsidR="0046186F" w:rsidRDefault="0046186F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6"/>
  </w:num>
  <w:num w:numId="20">
    <w:abstractNumId w:val="5"/>
  </w:num>
  <w:num w:numId="21">
    <w:abstractNumId w:val="20"/>
  </w:num>
  <w:num w:numId="22">
    <w:abstractNumId w:val="2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3BB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2033"/>
    <w:rsid w:val="00192F05"/>
    <w:rsid w:val="0019722D"/>
    <w:rsid w:val="001A5B9F"/>
    <w:rsid w:val="001A62B9"/>
    <w:rsid w:val="001C011D"/>
    <w:rsid w:val="001C3120"/>
    <w:rsid w:val="001D1AC9"/>
    <w:rsid w:val="001E1DA2"/>
    <w:rsid w:val="001F7C8D"/>
    <w:rsid w:val="00201C4A"/>
    <w:rsid w:val="00211FA4"/>
    <w:rsid w:val="00222EF4"/>
    <w:rsid w:val="0022742C"/>
    <w:rsid w:val="00230F13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80DF3"/>
    <w:rsid w:val="00393EA8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186F"/>
    <w:rsid w:val="00464E2C"/>
    <w:rsid w:val="00466752"/>
    <w:rsid w:val="00473D41"/>
    <w:rsid w:val="00482056"/>
    <w:rsid w:val="004933B7"/>
    <w:rsid w:val="004A225A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55AA4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406C"/>
    <w:rsid w:val="006E5CB0"/>
    <w:rsid w:val="006F406F"/>
    <w:rsid w:val="007305A4"/>
    <w:rsid w:val="00734489"/>
    <w:rsid w:val="00740FA4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1266"/>
    <w:rsid w:val="007D3422"/>
    <w:rsid w:val="007D6DF7"/>
    <w:rsid w:val="007E173C"/>
    <w:rsid w:val="00804805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02BF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26D1"/>
    <w:rsid w:val="00A17134"/>
    <w:rsid w:val="00A31FC1"/>
    <w:rsid w:val="00A35237"/>
    <w:rsid w:val="00A35A49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74A53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18E0"/>
    <w:rsid w:val="00CF395D"/>
    <w:rsid w:val="00CF7D51"/>
    <w:rsid w:val="00D02CDC"/>
    <w:rsid w:val="00D2269C"/>
    <w:rsid w:val="00D314F5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2ADA"/>
    <w:rsid w:val="00F0141A"/>
    <w:rsid w:val="00F014BD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B1C-6C5E-475A-AA4E-7C62E977A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1496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Martin Moučka</cp:lastModifiedBy>
  <cp:revision>2</cp:revision>
  <cp:lastPrinted>2015-08-10T14:34:00Z</cp:lastPrinted>
  <dcterms:created xsi:type="dcterms:W3CDTF">2022-04-20T10:22:00Z</dcterms:created>
  <dcterms:modified xsi:type="dcterms:W3CDTF">2022-04-20T10:22:00Z</dcterms:modified>
</cp:coreProperties>
</file>